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PingFang SC" w:hAnsi="PingFang SC" w:eastAsia="PingFang SC"/>
          <w:b/>
          <w:color w:val="E7691C"/>
          <w:sz w:val="22"/>
        </w:rPr>
        <w:t>JILI · 最大赢取</w:t>
      </w:r>
    </w:p>
    <w:p>
      <w:pPr>
        <w:jc w:val="center"/>
      </w:pPr>
      <w:r>
        <w:rPr>
          <w:rFonts w:ascii="PingFang SC" w:hAnsi="PingFang SC" w:eastAsia="PingFang SC"/>
          <w:b/>
          <w:color w:val="C25510"/>
          <w:sz w:val="48"/>
        </w:rPr>
        <w:t>JILI 最大赢取与波动</w:t>
      </w:r>
    </w:p>
    <w:p>
      <w:pPr>
        <w:jc w:val="center"/>
      </w:pPr>
      <w:r>
        <w:rPr>
          <w:rFonts w:ascii="PingFang SC" w:hAnsi="PingFang SC" w:eastAsia="PingFang SC"/>
          <w:color w:val="C25510"/>
          <w:sz w:val="21"/>
        </w:rPr>
        <w:t>由 JILI 试玩档案馆（jilifree.games） · 2026年8月3日 · 参考文档,非游戏/App 下载</w:t>
      </w:r>
    </w:p>
    <w:p/>
    <w:p>
      <w:r>
        <w:rPr>
          <w:rFonts w:ascii="PingFang SC" w:hAnsi="PingFang SC" w:eastAsia="PingFang SC"/>
          <w:sz w:val="22"/>
        </w:rPr>
        <w:t>最大赢取 10000x 是一款游戏最爱打头的数字,也是玩家最常读错的一个。它是赔付表上的一道硬顶,单位是你自己的下注额——它标出赔付在哪里止住,而不是它正朝哪里去。这份报告把天花板放在本站收录的 JILI 游戏所列出的 RTP 与波动评级旁边,说明这三者各走各的。只讲机制——不推荐任何平台,也不含任何真钱玩法。</w:t>
      </w:r>
    </w:p>
    <w:p/>
    <w:p>
      <w:pPr>
        <w:pStyle w:val="Heading1"/>
      </w:pPr>
      <w:r>
        <w:rPr>
          <w:rFonts w:ascii="PingFang SC" w:hAnsi="PingFang SC" w:eastAsia="PingFang SC"/>
          <w:color w:val="C25510"/>
        </w:rPr>
        <w:t>01  天花板是倍数,不是金额</w:t>
      </w:r>
    </w:p>
    <w:p>
      <w:r>
        <w:rPr>
          <w:rFonts w:ascii="PingFang SC" w:hAnsi="PingFang SC" w:eastAsia="PingFang SC"/>
          <w:sz w:val="21"/>
        </w:rPr>
        <w:t>最大赢取 2000x 指的是那一次旋转下注额的两千倍,而不是一笔现金奖。改下注额,天花板等比跟着动——每一次输掉的旋转的成本也一样跟着动。它是赔付表的属性,逐轮结算,永远不会被打光。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02  一道硬顶在数学上干了什么</w:t>
      </w:r>
    </w:p>
    <w:p>
      <w:r>
        <w:rPr>
          <w:rFonts w:ascii="PingFang SC" w:hAnsi="PingFang SC" w:eastAsia="PingFang SC"/>
          <w:sz w:val="21"/>
        </w:rPr>
        <w:t>赔付分布有一条又长又薄的右尾。天花板把它截断:一旦某轮累计赢取达到标称倍数,游戏停止累加并结算。所以天花板只回答一个问题——这款游戏赔到哪里为止——玩家习惯挂在它身上的其他问题,它一个都不回答。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03  天花板与波动互相独立</w:t>
      </w:r>
    </w:p>
    <w:p>
      <w:r>
        <w:rPr>
          <w:rFonts w:ascii="PingFang SC" w:hAnsi="PingFang SC" w:eastAsia="PingFang SC"/>
          <w:sz w:val="21"/>
        </w:rPr>
        <w:t>Money Coming 与 Circus Joker 4096 都标着 10000x 天花板、波动评为「中」,而 Boxing King 标着 5000x、波动评为「高」。天花板描述分布最远的那条边;波动描述分布主体铺得多开。</w:t>
      </w:r>
    </w:p>
    <w:p>
      <w:r>
        <w:rPr>
          <w:rFonts w:ascii="PingFang SC" w:hAnsi="PingFang SC" w:eastAsia="PingFang SC"/>
          <w:b/>
          <w:color w:val="E7691C"/>
          <w:sz w:val="20"/>
        </w:rPr>
        <w:t xml:space="preserve">目录实例: </w:t>
      </w:r>
      <w:r>
        <w:rPr>
          <w:rFonts w:ascii="PingFang SC" w:hAnsi="PingFang SC" w:eastAsia="PingFang SC"/>
          <w:sz w:val="20"/>
        </w:rPr>
        <w:t>Money Coming, Circus Joker 4096, Boxing King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04  天花板对 RTP 什么都没说</w:t>
      </w:r>
    </w:p>
    <w:p>
      <w:r>
        <w:rPr>
          <w:rFonts w:ascii="PingFang SC" w:hAnsi="PingFang SC" w:eastAsia="PingFang SC"/>
          <w:sz w:val="21"/>
        </w:rPr>
        <w:t>本站收录的老虎机里,Super Ace 标注的 RTP 最高、为 97.22%,天花板却是偏低的 1500x;而好几款标着 97.00% 的游戏,天花板是它的数倍。方式数、RTP、波动是三条独立的轴,回答三个独立的问题。</w:t>
      </w:r>
    </w:p>
    <w:p>
      <w:r>
        <w:rPr>
          <w:rFonts w:ascii="PingFang SC" w:hAnsi="PingFang SC" w:eastAsia="PingFang SC"/>
          <w:b/>
          <w:color w:val="E7691C"/>
          <w:sz w:val="20"/>
        </w:rPr>
        <w:t xml:space="preserve">目录实例: </w:t>
      </w:r>
      <w:r>
        <w:rPr>
          <w:rFonts w:ascii="PingFang SC" w:hAnsi="PingFang SC" w:eastAsia="PingFang SC"/>
          <w:sz w:val="20"/>
        </w:rPr>
        <w:t>Super Ace, Fortune Gems 3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05  不同品类不在一个刻度上</w:t>
      </w:r>
    </w:p>
    <w:p>
      <w:r>
        <w:rPr>
          <w:rFonts w:ascii="PingFang SC" w:hAnsi="PingFang SC" w:eastAsia="PingFang SC"/>
          <w:sz w:val="21"/>
        </w:rPr>
        <w:t>本站的街机与桌面条目天花板完全是另一个量级——Wheel of Fortune 36x、TeenPatti 100x、Color Game 150x——因为它们是拿一注结算一组短而明确的结果,而不是在一轮功能里层层累加倍数。评价天花板要放回它自己的品类。</w:t>
      </w:r>
    </w:p>
    <w:p>
      <w:r>
        <w:rPr>
          <w:rFonts w:ascii="PingFang SC" w:hAnsi="PingFang SC" w:eastAsia="PingFang SC"/>
          <w:b/>
          <w:color w:val="E7691C"/>
          <w:sz w:val="20"/>
        </w:rPr>
        <w:t xml:space="preserve">目录实例: </w:t>
      </w:r>
      <w:r>
        <w:rPr>
          <w:rFonts w:ascii="PingFang SC" w:hAnsi="PingFang SC" w:eastAsia="PingFang SC"/>
          <w:sz w:val="20"/>
        </w:rPr>
        <w:t>Wheel of Fortune, Color Game, TeenPatti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06  2024–25 的规律</w:t>
      </w:r>
    </w:p>
    <w:p>
      <w:r>
        <w:rPr>
          <w:rFonts w:ascii="PingFang SC" w:hAnsi="PingFang SC" w:eastAsia="PingFang SC"/>
          <w:sz w:val="21"/>
        </w:rPr>
        <w:t>在本站收录的产品线延伸里,续作把更高的天花板与更高的波动评级配在一起,而标注 RTP 几乎不动:Fortune Gems 2000x「中」变成 Fortune Gems 3 的 10125x「高」;Super Ace 1500x「中高」变成 Super Ace Deluxe 的 5000x「高」。同样的标注回报,更高的天花板,更宽的分布。</w:t>
      </w:r>
    </w:p>
    <w:p>
      <w:r>
        <w:rPr>
          <w:rFonts w:ascii="PingFang SC" w:hAnsi="PingFang SC" w:eastAsia="PingFang SC"/>
          <w:b/>
          <w:color w:val="E7691C"/>
          <w:sz w:val="20"/>
        </w:rPr>
        <w:t xml:space="preserve">目录实例: </w:t>
      </w:r>
      <w:r>
        <w:rPr>
          <w:rFonts w:ascii="PingFang SC" w:hAnsi="PingFang SC" w:eastAsia="PingFang SC"/>
          <w:sz w:val="20"/>
        </w:rPr>
        <w:t>Fortune Gems, Fortune Gems 3, Super Ace, Super Ace Deluxe</w:t>
      </w:r>
    </w:p>
    <w:p/>
    <w:p>
      <w:pPr>
        <w:pStyle w:val="Heading1"/>
      </w:pPr>
      <w:r>
        <w:rPr>
          <w:rFonts w:ascii="PingFang SC" w:hAnsi="PingFang SC" w:eastAsia="PingFang SC"/>
        </w:rPr>
        <w:t>18+  理性游戏</w:t>
      </w:r>
    </w:p>
    <w:p>
      <w:r>
        <w:rPr>
          <w:rFonts w:ascii="PingFang SC" w:hAnsi="PingFang SC" w:eastAsia="PingFang SC"/>
          <w:sz w:val="19"/>
        </w:rPr>
        <w:t>本文件由 JILI 试玩档案馆 独立整理,目的仅在于讲清游戏机制。它不是 JILI 的官方渠道,不接受任何真钱投注,也不推广或推荐任何博彩平台——本文件与本站都不含任何联盟或推广链接。试玩使用虚拟额度,无法验证真钱结果。博彩有风险,没有任何机制能移除庄家优势;若博彩已开始影响你的生活或身心,请停下并寻求专业帮助。仅供 18 岁及以上读者阅读。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