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color w:val="E7691C"/>
          <w:sz w:val="22"/>
        </w:rPr>
        <w:t>JILI · Thắng tối đa</w:t>
      </w:r>
    </w:p>
    <w:p>
      <w:pPr>
        <w:jc w:val="center"/>
      </w:pPr>
      <w:r>
        <w:rPr>
          <w:b/>
          <w:color w:val="C25510"/>
          <w:sz w:val="46"/>
        </w:rPr>
        <w:t>Thắng tối đa JILI &amp; biến động</w:t>
      </w:r>
    </w:p>
    <w:p>
      <w:pPr>
        <w:jc w:val="center"/>
      </w:pPr>
      <w:r>
        <w:rPr>
          <w:color w:val="C25510"/>
          <w:sz w:val="21"/>
        </w:rPr>
        <w:t>Bởi Kho Chơi Thử JILI (jilifree.games) · 3 tháng 8, 2026 · Tài liệu tham khảo, không phải tải game/ứng dụng</w:t>
      </w:r>
    </w:p>
    <w:p/>
    <w:p>
      <w:r>
        <w:rPr>
          <w:sz w:val="22"/>
        </w:rPr>
        <w:t>Thắng tối đa 10.000x là con số một trò chơi đưa lên đầu và cũng là con số người chơi đọc sai nhiều nhất. Đó là mức trần trên bảng trả thưởng, tính theo bội số tiền cược của chính bạn — nó đánh dấu nơi các khoản trả dừng lại, không phải nơi chúng đang hướng tới. Báo cáo này đặt cái trần cạnh các chỉ số RTP và biến động ghi trên các tựa JILI trong kho của trang này, và cho thấy cả ba đi độc lập với nhau. Chỉ cơ chế — không giới thiệu nền tảng nào và không có lối chơi tiền thật nào.</w:t>
      </w:r>
    </w:p>
    <w:p/>
    <w:p>
      <w:pPr>
        <w:pStyle w:val="Heading1"/>
      </w:pPr>
      <w:r>
        <w:rPr>
          <w:color w:val="C25510"/>
        </w:rPr>
        <w:t>01  Trần là bội số, không phải số tiền</w:t>
      </w:r>
    </w:p>
    <w:p>
      <w:r>
        <w:rPr>
          <w:sz w:val="21"/>
        </w:rPr>
        <w:t>Thắng tối đa 2.000x nghĩa là hai nghìn lần tiền cược của vòng quay đó, không phải một giải thưởng tiền mặt. Đổi mức cược thì cái trần dịch theo tỷ lệ — và chi phí của mọi vòng quay thua cũng vậy. Nó là thuộc tính của bảng trả thưởng, tính theo từng vòng, và không bao giờ cạn.</w:t>
      </w:r>
    </w:p>
    <w:p>
      <w:pPr>
        <w:pStyle w:val="Heading1"/>
      </w:pPr>
      <w:r>
        <w:rPr>
          <w:color w:val="C25510"/>
        </w:rPr>
        <w:t>02  Một cái trần làm gì với phần toán</w:t>
      </w:r>
    </w:p>
    <w:p>
      <w:r>
        <w:rPr>
          <w:sz w:val="21"/>
        </w:rPr>
        <w:t>Phân phối trả thưởng có một cái đuôi phải dài và mỏng. Cái trần cắt cụt nó: khi tổng tiền thắng của một vòng chạm mức bội số đã ghi, trò chơi ngừng cộng thêm và kết toán. Vậy nên trần chỉ trả lời một câu hỏi — trò chơi này ngừng trả ở đâu.</w:t>
      </w:r>
    </w:p>
    <w:p>
      <w:pPr>
        <w:pStyle w:val="Heading1"/>
      </w:pPr>
      <w:r>
        <w:rPr>
          <w:color w:val="C25510"/>
        </w:rPr>
        <w:t>03  Trần và biến động đi độc lập</w:t>
      </w:r>
    </w:p>
    <w:p>
      <w:r>
        <w:rPr>
          <w:sz w:val="21"/>
        </w:rPr>
        <w:t>Money Coming và Circus Joker 4096 đều ghi trần 10.000x với mức biến động trung bình, còn Boxing King ghi 5.000x và được xếp mức cao. Trần mô tả mép xa nhất của phân phối; biến động mô tả phần thân của nó trải rộng ra sao.</w:t>
      </w:r>
    </w:p>
    <w:p>
      <w:r>
        <w:rPr>
          <w:b/>
          <w:color w:val="E7691C"/>
          <w:sz w:val="20"/>
        </w:rPr>
        <w:t xml:space="preserve">Ví dụ trong kho: </w:t>
      </w:r>
      <w:r>
        <w:rPr>
          <w:sz w:val="20"/>
        </w:rPr>
        <w:t>Money Coming, Circus Joker 4096, Boxing King</w:t>
      </w:r>
    </w:p>
    <w:p>
      <w:pPr>
        <w:pStyle w:val="Heading1"/>
      </w:pPr>
      <w:r>
        <w:rPr>
          <w:color w:val="C25510"/>
        </w:rPr>
        <w:t>04  Trần không nói gì về RTP</w:t>
      </w:r>
    </w:p>
    <w:p>
      <w:r>
        <w:rPr>
          <w:sz w:val="21"/>
        </w:rPr>
        <w:t>Trong các slot ghi chép ở đây, Super Ace mang RTP cao nhất là 97,22% nhưng trần chỉ 1.500x, trong khi nhiều tựa ghi 97,00% lại ngồi trên những cái trần lớn gấp nhiều lần. Số cách thắng, RTP và biến động là ba trục riêng biệt trả lời ba câu hỏi riêng biệt.</w:t>
      </w:r>
    </w:p>
    <w:p>
      <w:r>
        <w:rPr>
          <w:b/>
          <w:color w:val="E7691C"/>
          <w:sz w:val="20"/>
        </w:rPr>
        <w:t xml:space="preserve">Ví dụ trong kho: </w:t>
      </w:r>
      <w:r>
        <w:rPr>
          <w:sz w:val="20"/>
        </w:rPr>
        <w:t>Super Ace, Fortune Gems 3</w:t>
      </w:r>
    </w:p>
    <w:p>
      <w:pPr>
        <w:pStyle w:val="Heading1"/>
      </w:pPr>
      <w:r>
        <w:rPr>
          <w:color w:val="C25510"/>
        </w:rPr>
        <w:t>05  Các định dạng không chung thang đo</w:t>
      </w:r>
    </w:p>
    <w:p>
      <w:r>
        <w:rPr>
          <w:sz w:val="21"/>
        </w:rPr>
        <w:t>Mục arcade và bài bàn ở đây bị chặn ở một thang hoàn toàn khác — Wheel of Fortune 36x, TeenPatti 100x, Color Game 150x — vì chúng kết toán một khoản cược trên tập kết quả ngắn và xác định thay vì tích lũy hệ số nhân qua một vòng tính năng. Hãy đánh giá trần trong chính hạng mục của nó.</w:t>
      </w:r>
    </w:p>
    <w:p>
      <w:r>
        <w:rPr>
          <w:b/>
          <w:color w:val="E7691C"/>
          <w:sz w:val="20"/>
        </w:rPr>
        <w:t xml:space="preserve">Ví dụ trong kho: </w:t>
      </w:r>
      <w:r>
        <w:rPr>
          <w:sz w:val="20"/>
        </w:rPr>
        <w:t>Wheel of Fortune, Color Game, TeenPatti</w:t>
      </w:r>
    </w:p>
    <w:p>
      <w:pPr>
        <w:pStyle w:val="Heading1"/>
      </w:pPr>
      <w:r>
        <w:rPr>
          <w:color w:val="C25510"/>
        </w:rPr>
        <w:t>06  Quy luật 2024–25</w:t>
      </w:r>
    </w:p>
    <w:p>
      <w:r>
        <w:rPr>
          <w:sz w:val="21"/>
        </w:rPr>
        <w:t>Ở các phần nối dài dòng sản phẩm trong kho này, hậu bản ghép trần cao hơn với mức biến động cao hơn trong khi RTP ghi nhận gần như không đổi: Fortune Gems 2.000x trung bình thành Fortune Gems 3 ở 10.125x cao; Super Ace 1.500x trung bình–cao thành Super Ace Deluxe ở 5.000x cao.</w:t>
      </w:r>
    </w:p>
    <w:p>
      <w:r>
        <w:rPr>
          <w:b/>
          <w:color w:val="E7691C"/>
          <w:sz w:val="20"/>
        </w:rPr>
        <w:t xml:space="preserve">Ví dụ trong kho: </w:t>
      </w:r>
      <w:r>
        <w:rPr>
          <w:sz w:val="20"/>
        </w:rPr>
        <w:t>Fortune Gems, Fortune Gems 3, Super Ace, Super Ace Deluxe</w:t>
      </w:r>
    </w:p>
    <w:p/>
    <w:p>
      <w:pPr>
        <w:pStyle w:val="Heading1"/>
      </w:pPr>
      <w:r>
        <w:t>18+  Chơi có trách nhiệm</w:t>
      </w:r>
    </w:p>
    <w:p>
      <w:r>
        <w:rPr>
          <w:sz w:val="19"/>
        </w:rPr>
        <w:t>Tài liệu này do Kho Chơi Thử JILI biên soạn độc lập nhằm giải thích cơ chế game. Đây không phải kênh chính thức của JILI, không nhận cược tiền thật nào, và không quảng bá hay giới thiệu nền tảng cờ bạc nào — cả tệp này lẫn trang web đều không mang bất kỳ liên kết tiếp thị hay giới thiệu nào. Chơi thử dùng tín dụng ảo và không thể kiểm chứng kết quả tiền thật. Cờ bạc có rủi ro, và không cơ chế nào gỡ được biên lợi nhà cái; nếu việc chơi bắt đầu ảnh hưởng tới cuộc sống hay sức khỏe của bạn, hãy dừng lại và tìm hỗ trợ chuyên môn. Chỉ dành cho người đọc từ 18 tuổi trở lên.</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